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Integrazione rette case di riposo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dell' integrazione delle rette delle case di riposo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109/1998 - Definizioni di criteri unificati di valutazione della situazione economica dei soggetti richiedenti prestazioni sociali agevolate - D.Lgs. 130/2000 - Disposizioni correttive ed integrative al D.Lgs. 109/1998 - Legge regionale - Deliberazione di Giunta Regionale - Regolamento per l'erogazione degli interventi economici di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4577A" w:rsidRDefault="0004577A" w:rsidP="0004577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3A3F5C" w:rsidRDefault="0004577A" w:rsidP="0004577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A3F5C" w:rsidRDefault="00B072C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072C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4577A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3F5C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072CA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2026-06-12T19:14:00Z</dcterms:modified>
</cp:coreProperties>
</file>